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Ind w:w="14" w:type="dxa"/>
        <w:tblLook w:val="0000" w:firstRow="0" w:lastRow="0" w:firstColumn="0" w:lastColumn="0" w:noHBand="0" w:noVBand="0"/>
      </w:tblPr>
      <w:tblGrid>
        <w:gridCol w:w="9625"/>
      </w:tblGrid>
      <w:tr w:rsidR="00B8456C" w14:paraId="0A629CE3" w14:textId="77777777" w:rsidTr="00067BBE">
        <w:trPr>
          <w:trHeight w:hRule="exact" w:val="1276"/>
        </w:trPr>
        <w:tc>
          <w:tcPr>
            <w:tcW w:w="9625" w:type="dxa"/>
            <w:tcMar>
              <w:left w:w="0" w:type="dxa"/>
              <w:right w:w="0" w:type="dxa"/>
            </w:tcMar>
          </w:tcPr>
          <w:p w14:paraId="6C9E279D" w14:textId="77777777" w:rsidR="00B8456C" w:rsidRDefault="00634DB5">
            <w:pPr>
              <w:jc w:val="center"/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7728" behindDoc="1" locked="0" layoutInCell="1" allowOverlap="1" wp14:anchorId="7515C3BB" wp14:editId="5F02CB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8" name="Paveikslėlis 8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456C" w14:paraId="1A38E8C9" w14:textId="77777777" w:rsidTr="00067BBE">
        <w:trPr>
          <w:trHeight w:hRule="exact" w:val="697"/>
        </w:trPr>
        <w:tc>
          <w:tcPr>
            <w:tcW w:w="9625" w:type="dxa"/>
            <w:tcMar>
              <w:left w:w="0" w:type="dxa"/>
              <w:right w:w="0" w:type="dxa"/>
            </w:tcMar>
          </w:tcPr>
          <w:p w14:paraId="042964D8" w14:textId="0BC64830" w:rsidR="00B8456C" w:rsidRPr="00F10EC6" w:rsidRDefault="00F07439" w:rsidP="00C0526E">
            <w:pPr>
              <w:pStyle w:val="Antrat1"/>
              <w:rPr>
                <w:sz w:val="24"/>
              </w:rPr>
            </w:pPr>
            <w:r>
              <w:rPr>
                <w:sz w:val="24"/>
              </w:rPr>
              <w:t>RASEINIŲ LOPŠELIO-DARŽELIO „SAULUTĖ“</w:t>
            </w:r>
            <w:r w:rsidR="00B8456C" w:rsidRPr="00F10EC6">
              <w:rPr>
                <w:sz w:val="24"/>
              </w:rPr>
              <w:t xml:space="preserve"> DIREKTOR</w:t>
            </w:r>
            <w:r w:rsidR="007C049E" w:rsidRPr="00F10EC6">
              <w:rPr>
                <w:sz w:val="24"/>
              </w:rPr>
              <w:t>IUS</w:t>
            </w:r>
          </w:p>
          <w:p w14:paraId="430E64AC" w14:textId="77777777" w:rsidR="00B8456C" w:rsidRPr="00F10EC6" w:rsidRDefault="00B8456C"/>
        </w:tc>
      </w:tr>
      <w:tr w:rsidR="00B8456C" w14:paraId="0B7EF5E2" w14:textId="77777777" w:rsidTr="00067BBE">
        <w:trPr>
          <w:cantSplit/>
          <w:trHeight w:hRule="exact" w:val="340"/>
        </w:trPr>
        <w:tc>
          <w:tcPr>
            <w:tcW w:w="9625" w:type="dxa"/>
            <w:tcMar>
              <w:left w:w="0" w:type="dxa"/>
              <w:right w:w="0" w:type="dxa"/>
            </w:tcMar>
            <w:vAlign w:val="center"/>
          </w:tcPr>
          <w:p w14:paraId="144739BE" w14:textId="77777777" w:rsidR="00B8456C" w:rsidRPr="00F10EC6" w:rsidRDefault="00B8456C" w:rsidP="001753CE">
            <w:pPr>
              <w:pStyle w:val="Antrat1"/>
              <w:rPr>
                <w:sz w:val="24"/>
              </w:rPr>
            </w:pPr>
            <w:r w:rsidRPr="00F10EC6">
              <w:rPr>
                <w:sz w:val="24"/>
              </w:rPr>
              <w:t>ĮSAKYMAS</w:t>
            </w:r>
          </w:p>
        </w:tc>
      </w:tr>
      <w:tr w:rsidR="00B8456C" w14:paraId="0D68DA42" w14:textId="77777777" w:rsidTr="00067BBE">
        <w:trPr>
          <w:cantSplit/>
          <w:trHeight w:val="340"/>
        </w:trPr>
        <w:tc>
          <w:tcPr>
            <w:tcW w:w="9625" w:type="dxa"/>
            <w:tcMar>
              <w:left w:w="0" w:type="dxa"/>
              <w:right w:w="0" w:type="dxa"/>
            </w:tcMar>
            <w:vAlign w:val="center"/>
          </w:tcPr>
          <w:p w14:paraId="723F9CA2" w14:textId="63420FD1" w:rsidR="00167DEC" w:rsidRPr="00CD7E1E" w:rsidRDefault="00D54BE1" w:rsidP="00CD7E1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D</w:t>
            </w:r>
            <w:r w:rsidR="00F07439">
              <w:rPr>
                <w:b/>
                <w:bCs/>
                <w:lang w:eastAsia="lt-LT"/>
              </w:rPr>
              <w:t>ĖL RASEINIŲ LOPŠELIO-DARŽELIO „SAULUTĖ“</w:t>
            </w:r>
            <w:r w:rsidR="00A15E5E">
              <w:rPr>
                <w:b/>
                <w:bCs/>
                <w:lang w:eastAsia="lt-LT"/>
              </w:rPr>
              <w:t xml:space="preserve"> </w:t>
            </w:r>
            <w:r>
              <w:rPr>
                <w:b/>
                <w:bCs/>
              </w:rPr>
              <w:t xml:space="preserve">DOVANŲ, GAUTŲ PAGAL TARPTAUTINĮ PROTOKOLĄ AR TRADICIJAS, </w:t>
            </w:r>
            <w:r w:rsidR="0077713A">
              <w:rPr>
                <w:b/>
                <w:bCs/>
              </w:rPr>
              <w:t>REPREZENTACINIŲ DOVANŲ</w:t>
            </w:r>
            <w:r>
              <w:rPr>
                <w:b/>
                <w:bCs/>
              </w:rPr>
              <w:t xml:space="preserve"> PERDAVIMO, VERTINIMO, SAUGOJIMO</w:t>
            </w:r>
            <w:r w:rsidR="004977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IR </w:t>
            </w:r>
            <w:r w:rsidR="007637E2">
              <w:rPr>
                <w:b/>
                <w:bCs/>
              </w:rPr>
              <w:t xml:space="preserve">EKSPONAVIMO TVARKOS APRAŠO TVIRTINIMO IR KOMISIJOS SUDARYMO </w:t>
            </w:r>
          </w:p>
        </w:tc>
      </w:tr>
      <w:tr w:rsidR="00B8456C" w14:paraId="4FFB37C2" w14:textId="77777777" w:rsidTr="00067BBE">
        <w:trPr>
          <w:trHeight w:hRule="exact" w:val="964"/>
        </w:trPr>
        <w:tc>
          <w:tcPr>
            <w:tcW w:w="9625" w:type="dxa"/>
            <w:tcMar>
              <w:left w:w="0" w:type="dxa"/>
              <w:right w:w="0" w:type="dxa"/>
            </w:tcMar>
            <w:vAlign w:val="center"/>
          </w:tcPr>
          <w:p w14:paraId="0A89BC91" w14:textId="63455C60" w:rsidR="000C79C0" w:rsidRDefault="0032174A" w:rsidP="00EB7F3B">
            <w:pPr>
              <w:jc w:val="center"/>
            </w:pPr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lapkričio 8 </w:t>
            </w:r>
            <w:proofErr w:type="spellStart"/>
            <w:r>
              <w:t>d</w:t>
            </w:r>
            <w:proofErr w:type="spellEnd"/>
            <w:r>
              <w:t xml:space="preserve">. </w:t>
            </w:r>
            <w:bookmarkStart w:id="0" w:name="_GoBack"/>
            <w:bookmarkEnd w:id="0"/>
            <w:proofErr w:type="spellStart"/>
            <w:r w:rsidR="004111E5">
              <w:t>Nr</w:t>
            </w:r>
            <w:proofErr w:type="spellEnd"/>
            <w:r w:rsidR="004111E5">
              <w:t>.</w:t>
            </w:r>
            <w:r w:rsidR="00F07439">
              <w:t xml:space="preserve"> </w:t>
            </w:r>
            <w:r>
              <w:t>V-167</w:t>
            </w:r>
          </w:p>
          <w:p w14:paraId="6113CF0E" w14:textId="77777777" w:rsidR="00167DEC" w:rsidRPr="00167DEC" w:rsidRDefault="00167DEC" w:rsidP="00EB7F3B">
            <w:pPr>
              <w:jc w:val="center"/>
            </w:pPr>
            <w:r>
              <w:t>Raseiniai</w:t>
            </w:r>
          </w:p>
        </w:tc>
      </w:tr>
    </w:tbl>
    <w:p w14:paraId="7396E7FD" w14:textId="77777777" w:rsidR="00B8456C" w:rsidRDefault="00B8456C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p w14:paraId="7F4EBEEE" w14:textId="386F7EEF" w:rsidR="004E2A29" w:rsidRDefault="00F07439" w:rsidP="004E2A29">
      <w:pPr>
        <w:spacing w:line="360" w:lineRule="auto"/>
        <w:ind w:firstLine="1174"/>
        <w:jc w:val="both"/>
      </w:pPr>
      <w:r>
        <w:t xml:space="preserve">Vadovaudamasi </w:t>
      </w:r>
      <w:r w:rsidR="004E2A29">
        <w:t>Lietuvos Respublikos viešųjų ir privačių interesų derinimo įstatymo</w:t>
      </w:r>
      <w:r>
        <w:t xml:space="preserve"> 13 straipsniu ir įgyvendindama</w:t>
      </w:r>
      <w:r w:rsidR="004E2A29">
        <w:t xml:space="preserve"> Rekomendacijų dėl Lietuvos Respublikos viešųjų ir privačių interesų derinimo įstatymo nuostatų laikymosi kontrolės vykdymo, patvirtintų Vyriausiosios tarnybinės etikos komisijos 2019 </w:t>
      </w:r>
      <w:proofErr w:type="spellStart"/>
      <w:r w:rsidR="004E2A29">
        <w:t>m</w:t>
      </w:r>
      <w:proofErr w:type="spellEnd"/>
      <w:r w:rsidR="004E2A29">
        <w:t xml:space="preserve">. lapkričio 13 </w:t>
      </w:r>
      <w:proofErr w:type="spellStart"/>
      <w:r w:rsidR="004E2A29">
        <w:t>d</w:t>
      </w:r>
      <w:proofErr w:type="spellEnd"/>
      <w:r w:rsidR="004E2A29">
        <w:t>. sprendi</w:t>
      </w:r>
      <w:r w:rsidR="00C75D3B">
        <w:t xml:space="preserve">mu </w:t>
      </w:r>
      <w:proofErr w:type="spellStart"/>
      <w:r w:rsidR="00C75D3B">
        <w:t>Nr</w:t>
      </w:r>
      <w:proofErr w:type="spellEnd"/>
      <w:r w:rsidR="00C75D3B">
        <w:t>. KS-291 „Dėl Rekomendacijos</w:t>
      </w:r>
      <w:r w:rsidR="004E2A29">
        <w:t xml:space="preserve"> dėl Lietuvos Respublikos viešųjų ir privačių interesų derinimo įstatymo nuostatų laikymosi kontrolės vykdymo“</w:t>
      </w:r>
      <w:r w:rsidR="00E83A4C">
        <w:t>,</w:t>
      </w:r>
      <w:r w:rsidR="004E2A29">
        <w:t xml:space="preserve"> 2 </w:t>
      </w:r>
      <w:r w:rsidR="00271404">
        <w:t>dalies 11</w:t>
      </w:r>
      <w:r w:rsidR="00CD0BA6">
        <w:t xml:space="preserve"> </w:t>
      </w:r>
      <w:r w:rsidR="00271404">
        <w:t xml:space="preserve">punktą: </w:t>
      </w:r>
    </w:p>
    <w:p w14:paraId="0AFFB191" w14:textId="2C5DF91D" w:rsidR="00A13C77" w:rsidRDefault="00271404" w:rsidP="00A13C77">
      <w:pPr>
        <w:spacing w:line="360" w:lineRule="auto"/>
        <w:ind w:firstLine="1174"/>
        <w:jc w:val="both"/>
        <w:rPr>
          <w:rFonts w:ascii="BDO Novarese Book LT" w:hAnsi="BDO Novarese Book LT" w:cs="BDO Novarese Book LT"/>
        </w:rPr>
      </w:pPr>
      <w:r>
        <w:rPr>
          <w:rFonts w:ascii="BDO Novarese Book LT" w:hAnsi="BDO Novarese Book LT" w:cs="BDO Novarese Book LT"/>
        </w:rPr>
        <w:t>1. T</w:t>
      </w:r>
      <w:r w:rsidR="002F7C89">
        <w:rPr>
          <w:rFonts w:ascii="BDO Novarese Book LT" w:hAnsi="BDO Novarese Book LT" w:cs="BDO Novarese Book LT"/>
        </w:rPr>
        <w:t xml:space="preserve"> v i r t i n u</w:t>
      </w:r>
      <w:r w:rsidR="00F07439">
        <w:rPr>
          <w:rFonts w:ascii="BDO Novarese Book LT" w:hAnsi="BDO Novarese Book LT" w:cs="BDO Novarese Book LT"/>
        </w:rPr>
        <w:t xml:space="preserve"> Raseinių lopšelio-darželio „Saulutė“</w:t>
      </w:r>
      <w:r w:rsidR="004E2A29">
        <w:rPr>
          <w:rFonts w:ascii="BDO Novarese Book LT" w:hAnsi="BDO Novarese Book LT" w:cs="BDO Novarese Book LT"/>
        </w:rPr>
        <w:t xml:space="preserve"> dovanų, gautų pagal tarptautinį protokolą ar tradicijas, </w:t>
      </w:r>
      <w:r w:rsidR="00D92BE6">
        <w:rPr>
          <w:rFonts w:ascii="BDO Novarese Book LT" w:hAnsi="BDO Novarese Book LT" w:cs="BDO Novarese Book LT"/>
        </w:rPr>
        <w:t>repreze</w:t>
      </w:r>
      <w:r w:rsidR="0077713A">
        <w:rPr>
          <w:rFonts w:ascii="BDO Novarese Book LT" w:hAnsi="BDO Novarese Book LT" w:cs="BDO Novarese Book LT"/>
        </w:rPr>
        <w:t>ntacini</w:t>
      </w:r>
      <w:r w:rsidR="004E2A29">
        <w:rPr>
          <w:rFonts w:ascii="BDO Novarese Book LT" w:hAnsi="BDO Novarese Book LT" w:cs="BDO Novarese Book LT"/>
        </w:rPr>
        <w:t>ų dovanų perdavimo, vertinimo, saugojimo ir eksponavimo tvarkos aprašą (pridedama).</w:t>
      </w:r>
    </w:p>
    <w:p w14:paraId="0E4BB9F5" w14:textId="38EE3803" w:rsidR="0077713A" w:rsidRDefault="00271404" w:rsidP="0077713A">
      <w:pPr>
        <w:spacing w:line="360" w:lineRule="auto"/>
        <w:ind w:firstLine="1174"/>
        <w:jc w:val="both"/>
      </w:pPr>
      <w:r>
        <w:t>2</w:t>
      </w:r>
      <w:r w:rsidRPr="00D577D1">
        <w:t>.</w:t>
      </w:r>
      <w:r>
        <w:t xml:space="preserve"> </w:t>
      </w:r>
      <w:r w:rsidR="00A13C77">
        <w:t xml:space="preserve">S u d a r a u šią </w:t>
      </w:r>
      <w:r w:rsidR="00F07439">
        <w:rPr>
          <w:bCs/>
          <w:color w:val="000000"/>
          <w:spacing w:val="-1"/>
          <w:w w:val="101"/>
        </w:rPr>
        <w:t xml:space="preserve">Raseinių </w:t>
      </w:r>
      <w:r w:rsidR="00A13C77" w:rsidRPr="00787A47">
        <w:rPr>
          <w:bCs/>
          <w:color w:val="000000"/>
          <w:spacing w:val="-1"/>
          <w:w w:val="101"/>
        </w:rPr>
        <w:t xml:space="preserve"> </w:t>
      </w:r>
      <w:r w:rsidR="00F07439">
        <w:rPr>
          <w:rFonts w:ascii="BDO Novarese Book LT" w:hAnsi="BDO Novarese Book LT" w:cs="BDO Novarese Book LT"/>
        </w:rPr>
        <w:t xml:space="preserve">lopšelio-darželio „Saulutė“ </w:t>
      </w:r>
      <w:r w:rsidR="0077713A">
        <w:rPr>
          <w:bCs/>
          <w:color w:val="000000"/>
          <w:spacing w:val="-1"/>
          <w:w w:val="101"/>
        </w:rPr>
        <w:t xml:space="preserve">dovanų, gautų </w:t>
      </w:r>
      <w:r w:rsidR="00A13C77" w:rsidRPr="00787A47">
        <w:rPr>
          <w:bCs/>
          <w:color w:val="000000"/>
          <w:spacing w:val="-1"/>
        </w:rPr>
        <w:t xml:space="preserve">pagal tarptautinį protokolą ar </w:t>
      </w:r>
      <w:r w:rsidR="00A13C77" w:rsidRPr="00787A47">
        <w:rPr>
          <w:bCs/>
          <w:color w:val="000000"/>
          <w:spacing w:val="1"/>
        </w:rPr>
        <w:t>tradicijas</w:t>
      </w:r>
      <w:r w:rsidR="0077713A">
        <w:rPr>
          <w:bCs/>
          <w:color w:val="000000"/>
          <w:spacing w:val="1"/>
        </w:rPr>
        <w:t xml:space="preserve">, reprezentacinių dovanų </w:t>
      </w:r>
      <w:r w:rsidR="00A13C77" w:rsidRPr="00BC6D73">
        <w:rPr>
          <w:color w:val="000000"/>
          <w:spacing w:val="-2"/>
        </w:rPr>
        <w:t>vertinimo</w:t>
      </w:r>
      <w:r w:rsidR="00A13C77" w:rsidRPr="00022F7C">
        <w:t xml:space="preserve"> komisij</w:t>
      </w:r>
      <w:r w:rsidR="00A13C77">
        <w:t>ą</w:t>
      </w:r>
      <w:r w:rsidR="0077713A">
        <w:t xml:space="preserve"> (toliau – komisija)</w:t>
      </w:r>
      <w:r w:rsidR="00A13C77">
        <w:t>:</w:t>
      </w:r>
    </w:p>
    <w:p w14:paraId="0A299AEA" w14:textId="1EB0FAB8" w:rsidR="00A13C77" w:rsidRDefault="002C3B62" w:rsidP="005D6ACD">
      <w:pPr>
        <w:spacing w:line="360" w:lineRule="auto"/>
        <w:ind w:firstLine="1174"/>
        <w:jc w:val="both"/>
      </w:pPr>
      <w:r>
        <w:t>p</w:t>
      </w:r>
      <w:r w:rsidR="00960E0A">
        <w:t>irmininkė</w:t>
      </w:r>
      <w:r>
        <w:t xml:space="preserve"> </w:t>
      </w:r>
      <w:r w:rsidR="00CD7E1E">
        <w:t>-</w:t>
      </w:r>
      <w:r w:rsidR="00C81863">
        <w:t xml:space="preserve"> </w:t>
      </w:r>
      <w:r w:rsidR="00F07439">
        <w:rPr>
          <w:b/>
        </w:rPr>
        <w:t>Marytė Bružienė</w:t>
      </w:r>
      <w:r w:rsidR="00711644">
        <w:t xml:space="preserve">, </w:t>
      </w:r>
      <w:r w:rsidR="00F07439">
        <w:t xml:space="preserve">lopšelio-darželio </w:t>
      </w:r>
      <w:proofErr w:type="spellStart"/>
      <w:r w:rsidR="00F07439">
        <w:t>dietistė</w:t>
      </w:r>
      <w:proofErr w:type="spellEnd"/>
      <w:r w:rsidR="00283459">
        <w:t>;</w:t>
      </w:r>
    </w:p>
    <w:p w14:paraId="7928AB3E" w14:textId="10E30441" w:rsidR="00711644" w:rsidRDefault="00711644" w:rsidP="00CD7E1E">
      <w:pPr>
        <w:spacing w:line="360" w:lineRule="auto"/>
        <w:ind w:firstLine="1174"/>
        <w:jc w:val="both"/>
      </w:pPr>
      <w:r>
        <w:t>nariai:</w:t>
      </w:r>
      <w:r w:rsidR="00336CFD">
        <w:t xml:space="preserve"> </w:t>
      </w:r>
      <w:r w:rsidR="002C3B62">
        <w:t xml:space="preserve">   </w:t>
      </w:r>
      <w:r w:rsidR="00336CFD">
        <w:t>-</w:t>
      </w:r>
      <w:r w:rsidR="00C81863">
        <w:t xml:space="preserve"> </w:t>
      </w:r>
      <w:r w:rsidR="00F07439">
        <w:rPr>
          <w:b/>
        </w:rPr>
        <w:t>Sandra Daugirdienė</w:t>
      </w:r>
      <w:r>
        <w:t xml:space="preserve">, </w:t>
      </w:r>
      <w:r w:rsidR="00F07439">
        <w:t>lopšelio-darželio administratorė</w:t>
      </w:r>
      <w:r w:rsidR="00960E0A">
        <w:t>;</w:t>
      </w:r>
    </w:p>
    <w:p w14:paraId="283E581F" w14:textId="68247655" w:rsidR="00283459" w:rsidRDefault="00F07439" w:rsidP="005D6ACD">
      <w:pPr>
        <w:spacing w:line="360" w:lineRule="auto"/>
        <w:ind w:firstLine="1174"/>
        <w:jc w:val="both"/>
      </w:pPr>
      <w:r>
        <w:rPr>
          <w:b/>
        </w:rPr>
        <w:t xml:space="preserve">              </w:t>
      </w:r>
      <w:r w:rsidR="002C3B62">
        <w:rPr>
          <w:b/>
        </w:rPr>
        <w:t xml:space="preserve">- </w:t>
      </w:r>
      <w:r>
        <w:rPr>
          <w:b/>
        </w:rPr>
        <w:t xml:space="preserve">Vitalija </w:t>
      </w:r>
      <w:proofErr w:type="spellStart"/>
      <w:r>
        <w:rPr>
          <w:b/>
        </w:rPr>
        <w:t>Bartkuvienė</w:t>
      </w:r>
      <w:proofErr w:type="spellEnd"/>
      <w:r w:rsidR="00711644">
        <w:t xml:space="preserve">, </w:t>
      </w:r>
      <w:r>
        <w:t>lopšelio-darželio direktoriaus pavaduotoja ugdymui</w:t>
      </w:r>
      <w:r w:rsidR="00A830F9">
        <w:t>.</w:t>
      </w:r>
      <w:r w:rsidR="00283459">
        <w:t xml:space="preserve"> </w:t>
      </w:r>
    </w:p>
    <w:p w14:paraId="7AC754A1" w14:textId="1770DF41" w:rsidR="00A13C77" w:rsidRDefault="0025506D" w:rsidP="005D6ACD">
      <w:pPr>
        <w:spacing w:line="360" w:lineRule="auto"/>
        <w:ind w:firstLine="1174"/>
        <w:jc w:val="both"/>
      </w:pPr>
      <w:r>
        <w:rPr>
          <w:lang w:val="en-GB"/>
        </w:rPr>
        <w:t xml:space="preserve">3. </w:t>
      </w:r>
      <w:r w:rsidRPr="007D2EE0">
        <w:t xml:space="preserve">S k i r i </w:t>
      </w:r>
      <w:proofErr w:type="gramStart"/>
      <w:r w:rsidRPr="007D2EE0">
        <w:t>u</w:t>
      </w:r>
      <w:r>
        <w:t xml:space="preserve"> </w:t>
      </w:r>
      <w:r w:rsidRPr="007D2EE0">
        <w:t xml:space="preserve"> </w:t>
      </w:r>
      <w:r w:rsidR="00F07439">
        <w:t>lop</w:t>
      </w:r>
      <w:r w:rsidR="00BC3B9C">
        <w:t>š</w:t>
      </w:r>
      <w:r w:rsidR="00F07439">
        <w:t>elio</w:t>
      </w:r>
      <w:proofErr w:type="gramEnd"/>
      <w:r w:rsidR="00F07439">
        <w:t>-darželio raštvedę Raimondą Savickienę</w:t>
      </w:r>
      <w:r>
        <w:t xml:space="preserve"> </w:t>
      </w:r>
      <w:r w:rsidRPr="007D2EE0">
        <w:t>sudarytosios komisijos sekretore</w:t>
      </w:r>
      <w:r w:rsidR="00CC1FD1">
        <w:t>.</w:t>
      </w:r>
    </w:p>
    <w:p w14:paraId="54A0AC89" w14:textId="7A56BBD9" w:rsidR="00B01862" w:rsidRDefault="0025506D" w:rsidP="00F07439">
      <w:pPr>
        <w:spacing w:line="360" w:lineRule="auto"/>
        <w:ind w:firstLine="1174"/>
        <w:jc w:val="both"/>
      </w:pPr>
      <w:r>
        <w:t>4</w:t>
      </w:r>
      <w:r w:rsidR="00A13C77">
        <w:t xml:space="preserve">. </w:t>
      </w:r>
      <w:r w:rsidR="00271404" w:rsidRPr="00D577D1">
        <w:t xml:space="preserve">P a v e d u </w:t>
      </w:r>
      <w:r w:rsidR="00F07439">
        <w:t>lopšelio-darželio socialinei pedagogei Astai Kavaliauskienei</w:t>
      </w:r>
      <w:r w:rsidR="00B01862">
        <w:t xml:space="preserve"> šį įsakymą paskelbti</w:t>
      </w:r>
      <w:r w:rsidR="00622DE0">
        <w:t xml:space="preserve"> lopšelio-darželio</w:t>
      </w:r>
      <w:r w:rsidR="00B01862">
        <w:t xml:space="preserve"> interneto svetainėje</w:t>
      </w:r>
      <w:r w:rsidR="00CF00D0">
        <w:t>,</w:t>
      </w:r>
      <w:r w:rsidR="00B01862">
        <w:t xml:space="preserve"> skiltyje „Korupcijos prevencija“.</w:t>
      </w:r>
    </w:p>
    <w:p w14:paraId="6951CAEF" w14:textId="3E2EE58A" w:rsidR="00174157" w:rsidRDefault="00174157" w:rsidP="00F07439">
      <w:pPr>
        <w:spacing w:line="360" w:lineRule="auto"/>
        <w:ind w:firstLine="1174"/>
        <w:jc w:val="both"/>
      </w:pPr>
      <w:r>
        <w:t>5. I n f o r m u o j u, kad s</w:t>
      </w:r>
      <w:r w:rsidR="003A3FBE">
        <w:t>usipažinimas su šiuo įsakymu</w:t>
      </w:r>
      <w:r>
        <w:t xml:space="preserve"> dokumentų valdymo sistemoje prilyginimas susipažinimui pasirašytinai.</w:t>
      </w:r>
    </w:p>
    <w:p w14:paraId="71E1D6F7" w14:textId="65896705" w:rsidR="0058447A" w:rsidRDefault="00174157" w:rsidP="00CD7E1E">
      <w:pPr>
        <w:spacing w:line="360" w:lineRule="auto"/>
        <w:ind w:firstLine="1174"/>
        <w:jc w:val="both"/>
      </w:pPr>
      <w:r>
        <w:t>6. T e i k</w:t>
      </w:r>
      <w:r w:rsidR="00CD7E1E">
        <w:t xml:space="preserve"> i u  šį įsakymą visiems lopšel</w:t>
      </w:r>
      <w:r>
        <w:t>io-darželio darbuotojams.</w:t>
      </w:r>
      <w:r w:rsidR="00F07439">
        <w:t xml:space="preserve"> </w:t>
      </w:r>
    </w:p>
    <w:p w14:paraId="603183AC" w14:textId="77777777" w:rsidR="00BC3B9C" w:rsidRDefault="00BC3B9C" w:rsidP="00CD7E1E">
      <w:pPr>
        <w:spacing w:line="360" w:lineRule="auto"/>
        <w:ind w:firstLine="1174"/>
        <w:jc w:val="both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21"/>
        <w:gridCol w:w="4218"/>
      </w:tblGrid>
      <w:tr w:rsidR="0058447A" w:rsidRPr="00F70F8C" w14:paraId="61AFC5B9" w14:textId="77777777" w:rsidTr="004D37BC">
        <w:tc>
          <w:tcPr>
            <w:tcW w:w="5421" w:type="dxa"/>
          </w:tcPr>
          <w:p w14:paraId="0000B786" w14:textId="71AEC9A7" w:rsidR="0058447A" w:rsidRPr="00F70F8C" w:rsidRDefault="00F07439" w:rsidP="00067BBE">
            <w:pPr>
              <w:ind w:left="-108"/>
            </w:pPr>
            <w:r>
              <w:t>Direktorė</w:t>
            </w:r>
          </w:p>
        </w:tc>
        <w:tc>
          <w:tcPr>
            <w:tcW w:w="4218" w:type="dxa"/>
          </w:tcPr>
          <w:p w14:paraId="368D3179" w14:textId="2F7FF6DD" w:rsidR="0058447A" w:rsidRPr="00F70F8C" w:rsidRDefault="00F07439" w:rsidP="002918B9">
            <w:pPr>
              <w:pStyle w:val="Antrats"/>
              <w:tabs>
                <w:tab w:val="clear" w:pos="4153"/>
                <w:tab w:val="clear" w:pos="8306"/>
              </w:tabs>
              <w:jc w:val="right"/>
            </w:pPr>
            <w:r>
              <w:t xml:space="preserve">Indrė </w:t>
            </w:r>
            <w:proofErr w:type="spellStart"/>
            <w:r>
              <w:t>Matevičienė</w:t>
            </w:r>
            <w:proofErr w:type="spellEnd"/>
          </w:p>
        </w:tc>
      </w:tr>
    </w:tbl>
    <w:p w14:paraId="2F413EDF" w14:textId="77777777" w:rsidR="0058447A" w:rsidRDefault="0058447A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sectPr w:rsidR="0058447A" w:rsidSect="00D92BE6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98D3D" w14:textId="77777777" w:rsidR="00027CD8" w:rsidRDefault="00027CD8">
      <w:r>
        <w:separator/>
      </w:r>
    </w:p>
  </w:endnote>
  <w:endnote w:type="continuationSeparator" w:id="0">
    <w:p w14:paraId="0FB4631B" w14:textId="77777777" w:rsidR="00027CD8" w:rsidRDefault="000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DO Novarese Book 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96B50" w14:textId="77777777" w:rsidR="00027CD8" w:rsidRDefault="00027CD8">
      <w:r>
        <w:separator/>
      </w:r>
    </w:p>
  </w:footnote>
  <w:footnote w:type="continuationSeparator" w:id="0">
    <w:p w14:paraId="28137D44" w14:textId="77777777" w:rsidR="00027CD8" w:rsidRDefault="000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22A55" w14:textId="77777777" w:rsidR="0064187B" w:rsidRDefault="00B4287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4187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7EFC16" w14:textId="77777777" w:rsidR="0064187B" w:rsidRDefault="0064187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7C9BD" w14:textId="77777777" w:rsidR="0064187B" w:rsidRDefault="00B4287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4187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7E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5316E7" w14:textId="77777777" w:rsidR="0064187B" w:rsidRDefault="0064187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62E9"/>
    <w:multiLevelType w:val="multilevel"/>
    <w:tmpl w:val="5FF2576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70"/>
    <w:rsid w:val="00027CD8"/>
    <w:rsid w:val="000311BC"/>
    <w:rsid w:val="00067BBE"/>
    <w:rsid w:val="0007603F"/>
    <w:rsid w:val="000A3FA0"/>
    <w:rsid w:val="000B6BFF"/>
    <w:rsid w:val="000B6D8D"/>
    <w:rsid w:val="000C79C0"/>
    <w:rsid w:val="000D105E"/>
    <w:rsid w:val="000D12C8"/>
    <w:rsid w:val="000E50BA"/>
    <w:rsid w:val="001270CB"/>
    <w:rsid w:val="0013362A"/>
    <w:rsid w:val="001601FA"/>
    <w:rsid w:val="00167DEC"/>
    <w:rsid w:val="00174157"/>
    <w:rsid w:val="001753CE"/>
    <w:rsid w:val="00194DF6"/>
    <w:rsid w:val="001A57DC"/>
    <w:rsid w:val="001C18CC"/>
    <w:rsid w:val="001C68B3"/>
    <w:rsid w:val="001E46C1"/>
    <w:rsid w:val="001E61DB"/>
    <w:rsid w:val="001F369C"/>
    <w:rsid w:val="0025506D"/>
    <w:rsid w:val="00262CA5"/>
    <w:rsid w:val="00271404"/>
    <w:rsid w:val="00276BB5"/>
    <w:rsid w:val="00283459"/>
    <w:rsid w:val="002A22D3"/>
    <w:rsid w:val="002A38DE"/>
    <w:rsid w:val="002A3E79"/>
    <w:rsid w:val="002A6DCB"/>
    <w:rsid w:val="002C3B62"/>
    <w:rsid w:val="002F7C89"/>
    <w:rsid w:val="00316CDD"/>
    <w:rsid w:val="0032174A"/>
    <w:rsid w:val="00336CFD"/>
    <w:rsid w:val="00365BF8"/>
    <w:rsid w:val="003A3FBE"/>
    <w:rsid w:val="003C3EF2"/>
    <w:rsid w:val="003C72D1"/>
    <w:rsid w:val="003E3396"/>
    <w:rsid w:val="003E701D"/>
    <w:rsid w:val="003F6416"/>
    <w:rsid w:val="004111E5"/>
    <w:rsid w:val="004253C3"/>
    <w:rsid w:val="0044658F"/>
    <w:rsid w:val="00450E98"/>
    <w:rsid w:val="00457335"/>
    <w:rsid w:val="0046343E"/>
    <w:rsid w:val="004717CB"/>
    <w:rsid w:val="0048684D"/>
    <w:rsid w:val="0049268B"/>
    <w:rsid w:val="00494891"/>
    <w:rsid w:val="00497713"/>
    <w:rsid w:val="004C14FF"/>
    <w:rsid w:val="004D37BC"/>
    <w:rsid w:val="004E2A29"/>
    <w:rsid w:val="004E3A89"/>
    <w:rsid w:val="004E7115"/>
    <w:rsid w:val="00504157"/>
    <w:rsid w:val="005102F4"/>
    <w:rsid w:val="00552055"/>
    <w:rsid w:val="0058447A"/>
    <w:rsid w:val="00586AB2"/>
    <w:rsid w:val="005B54FF"/>
    <w:rsid w:val="005B644C"/>
    <w:rsid w:val="005C195C"/>
    <w:rsid w:val="005D6ACD"/>
    <w:rsid w:val="005F27A0"/>
    <w:rsid w:val="005F2E98"/>
    <w:rsid w:val="00603976"/>
    <w:rsid w:val="00620A53"/>
    <w:rsid w:val="00622DE0"/>
    <w:rsid w:val="00634DB5"/>
    <w:rsid w:val="0064187B"/>
    <w:rsid w:val="00646BDF"/>
    <w:rsid w:val="0064742E"/>
    <w:rsid w:val="00664CC9"/>
    <w:rsid w:val="006A27D0"/>
    <w:rsid w:val="006B2D8F"/>
    <w:rsid w:val="006C6DB9"/>
    <w:rsid w:val="006D1308"/>
    <w:rsid w:val="006F1EA1"/>
    <w:rsid w:val="00711644"/>
    <w:rsid w:val="0071247E"/>
    <w:rsid w:val="007272E3"/>
    <w:rsid w:val="0073465E"/>
    <w:rsid w:val="00751DE8"/>
    <w:rsid w:val="00757B8F"/>
    <w:rsid w:val="007637E2"/>
    <w:rsid w:val="0077713A"/>
    <w:rsid w:val="007B0ED6"/>
    <w:rsid w:val="007C049E"/>
    <w:rsid w:val="007C4D70"/>
    <w:rsid w:val="007D17AD"/>
    <w:rsid w:val="007E5B26"/>
    <w:rsid w:val="007E7AE7"/>
    <w:rsid w:val="007F40D4"/>
    <w:rsid w:val="00810789"/>
    <w:rsid w:val="008321F3"/>
    <w:rsid w:val="00875FFB"/>
    <w:rsid w:val="008936BF"/>
    <w:rsid w:val="008D460C"/>
    <w:rsid w:val="008D71C6"/>
    <w:rsid w:val="0090074A"/>
    <w:rsid w:val="0091167C"/>
    <w:rsid w:val="009566DC"/>
    <w:rsid w:val="00960E0A"/>
    <w:rsid w:val="00975478"/>
    <w:rsid w:val="00984A52"/>
    <w:rsid w:val="00985599"/>
    <w:rsid w:val="009B710C"/>
    <w:rsid w:val="009C2128"/>
    <w:rsid w:val="009C4A89"/>
    <w:rsid w:val="009E14B5"/>
    <w:rsid w:val="009F5F11"/>
    <w:rsid w:val="00A04A32"/>
    <w:rsid w:val="00A13C77"/>
    <w:rsid w:val="00A15E5E"/>
    <w:rsid w:val="00A21B6E"/>
    <w:rsid w:val="00A35E75"/>
    <w:rsid w:val="00A50692"/>
    <w:rsid w:val="00A7436D"/>
    <w:rsid w:val="00A830F9"/>
    <w:rsid w:val="00A923FA"/>
    <w:rsid w:val="00AB4E95"/>
    <w:rsid w:val="00AC62E3"/>
    <w:rsid w:val="00AD55B1"/>
    <w:rsid w:val="00AE3E93"/>
    <w:rsid w:val="00AF4158"/>
    <w:rsid w:val="00B00238"/>
    <w:rsid w:val="00B01862"/>
    <w:rsid w:val="00B02DCD"/>
    <w:rsid w:val="00B04294"/>
    <w:rsid w:val="00B076EE"/>
    <w:rsid w:val="00B2489D"/>
    <w:rsid w:val="00B36D2E"/>
    <w:rsid w:val="00B42870"/>
    <w:rsid w:val="00B75A93"/>
    <w:rsid w:val="00B766BF"/>
    <w:rsid w:val="00B8456C"/>
    <w:rsid w:val="00B849E8"/>
    <w:rsid w:val="00B91F06"/>
    <w:rsid w:val="00BA4AFE"/>
    <w:rsid w:val="00BB1619"/>
    <w:rsid w:val="00BB77D2"/>
    <w:rsid w:val="00BC1929"/>
    <w:rsid w:val="00BC3B9C"/>
    <w:rsid w:val="00BE6952"/>
    <w:rsid w:val="00BF11E6"/>
    <w:rsid w:val="00BF1F79"/>
    <w:rsid w:val="00BF512C"/>
    <w:rsid w:val="00BF532E"/>
    <w:rsid w:val="00C0526E"/>
    <w:rsid w:val="00C256B5"/>
    <w:rsid w:val="00C3200F"/>
    <w:rsid w:val="00C332C6"/>
    <w:rsid w:val="00C75D3B"/>
    <w:rsid w:val="00C77F1F"/>
    <w:rsid w:val="00C81863"/>
    <w:rsid w:val="00C82AAA"/>
    <w:rsid w:val="00C92665"/>
    <w:rsid w:val="00CB0793"/>
    <w:rsid w:val="00CC1FD1"/>
    <w:rsid w:val="00CD0BA6"/>
    <w:rsid w:val="00CD7E1E"/>
    <w:rsid w:val="00CF00D0"/>
    <w:rsid w:val="00CF7081"/>
    <w:rsid w:val="00D02BE4"/>
    <w:rsid w:val="00D260B5"/>
    <w:rsid w:val="00D26E38"/>
    <w:rsid w:val="00D532E7"/>
    <w:rsid w:val="00D54BE1"/>
    <w:rsid w:val="00D62E7D"/>
    <w:rsid w:val="00D8108D"/>
    <w:rsid w:val="00D92BE6"/>
    <w:rsid w:val="00DC30CB"/>
    <w:rsid w:val="00DE1DC9"/>
    <w:rsid w:val="00DF1054"/>
    <w:rsid w:val="00E13E60"/>
    <w:rsid w:val="00E208A0"/>
    <w:rsid w:val="00E33A02"/>
    <w:rsid w:val="00E61E01"/>
    <w:rsid w:val="00E83A4C"/>
    <w:rsid w:val="00E970E8"/>
    <w:rsid w:val="00EB7F3B"/>
    <w:rsid w:val="00EC0FE8"/>
    <w:rsid w:val="00EC31AE"/>
    <w:rsid w:val="00EE4F35"/>
    <w:rsid w:val="00F07439"/>
    <w:rsid w:val="00F10EC6"/>
    <w:rsid w:val="00F11A00"/>
    <w:rsid w:val="00F473AC"/>
    <w:rsid w:val="00F603C0"/>
    <w:rsid w:val="00F70C1D"/>
    <w:rsid w:val="00F75FC2"/>
    <w:rsid w:val="00F8473E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F9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1F7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BF1F79"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rsid w:val="00BF1F79"/>
    <w:pPr>
      <w:keepNext/>
      <w:ind w:left="17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F1F7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BF1F79"/>
  </w:style>
  <w:style w:type="paragraph" w:styleId="Porat">
    <w:name w:val="footer"/>
    <w:basedOn w:val="prastasis"/>
    <w:rsid w:val="00BF1F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paragraph" w:customStyle="1" w:styleId="Default">
    <w:name w:val="Default"/>
    <w:rsid w:val="004111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semiHidden/>
    <w:rsid w:val="00A7436D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8321F3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4E7115"/>
  </w:style>
  <w:style w:type="character" w:styleId="Hipersaitas">
    <w:name w:val="Hyperlink"/>
    <w:basedOn w:val="Numatytasispastraiposriftas"/>
    <w:uiPriority w:val="99"/>
    <w:unhideWhenUsed/>
    <w:rsid w:val="004E7115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4E7115"/>
    <w:rPr>
      <w:b/>
      <w:bCs/>
    </w:rPr>
  </w:style>
  <w:style w:type="paragraph" w:styleId="Sraopastraipa">
    <w:name w:val="List Paragraph"/>
    <w:basedOn w:val="prastasis"/>
    <w:uiPriority w:val="34"/>
    <w:qFormat/>
    <w:rsid w:val="004E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1F7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BF1F79"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rsid w:val="00BF1F79"/>
    <w:pPr>
      <w:keepNext/>
      <w:ind w:left="17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F1F7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BF1F79"/>
  </w:style>
  <w:style w:type="paragraph" w:styleId="Porat">
    <w:name w:val="footer"/>
    <w:basedOn w:val="prastasis"/>
    <w:rsid w:val="00BF1F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paragraph" w:customStyle="1" w:styleId="Default">
    <w:name w:val="Default"/>
    <w:rsid w:val="004111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semiHidden/>
    <w:rsid w:val="00A7436D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8321F3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4E7115"/>
  </w:style>
  <w:style w:type="character" w:styleId="Hipersaitas">
    <w:name w:val="Hyperlink"/>
    <w:basedOn w:val="Numatytasispastraiposriftas"/>
    <w:uiPriority w:val="99"/>
    <w:unhideWhenUsed/>
    <w:rsid w:val="004E7115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4E7115"/>
    <w:rPr>
      <w:b/>
      <w:bCs/>
    </w:rPr>
  </w:style>
  <w:style w:type="paragraph" w:styleId="Sraopastraipa">
    <w:name w:val="List Paragraph"/>
    <w:basedOn w:val="prastasis"/>
    <w:uiPriority w:val="34"/>
    <w:qFormat/>
    <w:rsid w:val="004E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62EE-7FE2-43D5-8682-9D58F850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Raseinių rajono savivaldybės administracijos dovanų, gautų pagal tarptautinį protokolą ar tradicijas, reprezentacinių dovanų perdavimo, vertinimo, saugojimo ir eksponavimo tvarkos aprašo tvirtinimo ir komisijos sudarymo</vt:lpstr>
    </vt:vector>
  </TitlesOfParts>
  <Manager>2021-06-08</Manager>
  <Company>Raseiniu r.sav.administracija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Raseinių rajono savivaldybės administracijos dovanų, gautų pagal tarptautinį protokolą ar tradicijas, reprezentacinių dovanų perdavimo, vertinimo, saugojimo ir eksponavimo tvarkos aprašo tvirtinimo ir komisijos sudarymo</dc:title>
  <dc:subject>A1-594</dc:subject>
  <dc:creator>RASEINIŲ RAJONO SAVIVALDYBĖS ADMINISTRACIJOS DIREKTORIUS</dc:creator>
  <cp:lastModifiedBy>„Windows“ vartotojas</cp:lastModifiedBy>
  <cp:revision>14</cp:revision>
  <cp:lastPrinted>2022-11-08T11:41:00Z</cp:lastPrinted>
  <dcterms:created xsi:type="dcterms:W3CDTF">2022-11-08T11:17:00Z</dcterms:created>
  <dcterms:modified xsi:type="dcterms:W3CDTF">2022-11-08T13:56:00Z</dcterms:modified>
  <cp:category>ĮSAKYMAS</cp:category>
</cp:coreProperties>
</file>